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省资本市场培育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系统简介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</w:p>
    <w:p>
      <w:pPr>
        <w:pStyle w:val="2"/>
        <w:ind w:left="0" w:leftChars="0" w:firstLine="640" w:firstLineChars="20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广东</w:t>
      </w:r>
      <w:r>
        <w:rPr>
          <w:rFonts w:hint="eastAsia"/>
        </w:rPr>
        <w:t>省资本市场培育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系统为</w:t>
      </w:r>
      <w:r>
        <w:rPr>
          <w:rFonts w:hint="eastAsia"/>
          <w:lang w:eastAsia="zh-CN"/>
        </w:rPr>
        <w:t>广东</w:t>
      </w:r>
      <w:r>
        <w:rPr>
          <w:rFonts w:hint="eastAsia"/>
        </w:rPr>
        <w:t>省地方金融</w:t>
      </w:r>
      <w:r>
        <w:rPr>
          <w:rFonts w:hint="eastAsia"/>
          <w:lang w:eastAsia="zh-CN"/>
        </w:rPr>
        <w:t>监督管理</w:t>
      </w:r>
      <w:r>
        <w:rPr>
          <w:rFonts w:hint="eastAsia"/>
        </w:rPr>
        <w:t>局</w:t>
      </w:r>
      <w:r>
        <w:rPr>
          <w:rFonts w:hint="eastAsia"/>
          <w:lang w:eastAsia="zh-CN"/>
        </w:rPr>
        <w:t>与</w:t>
      </w:r>
      <w:r>
        <w:rPr>
          <w:rFonts w:hint="eastAsia"/>
        </w:rPr>
        <w:t>深圳证券交易所共建，</w:t>
      </w:r>
      <w:r>
        <w:rPr>
          <w:rFonts w:hint="eastAsia"/>
          <w:lang w:eastAsia="zh-CN"/>
        </w:rPr>
        <w:t>旨在打造成为</w:t>
      </w:r>
      <w:r>
        <w:rPr>
          <w:rFonts w:hint="eastAsia"/>
        </w:rPr>
        <w:t>我省资本市场政策宣传、业务指导、企业</w:t>
      </w:r>
      <w:r>
        <w:rPr>
          <w:rFonts w:hint="eastAsia"/>
          <w:lang w:eastAsia="zh-CN"/>
        </w:rPr>
        <w:t>上市</w:t>
      </w:r>
      <w:r>
        <w:rPr>
          <w:rFonts w:hint="eastAsia"/>
        </w:rPr>
        <w:t>培育的</w:t>
      </w:r>
      <w:r>
        <w:rPr>
          <w:rFonts w:hint="eastAsia"/>
          <w:lang w:eastAsia="zh-CN"/>
        </w:rPr>
        <w:t>一体化企业上市服务</w:t>
      </w:r>
      <w:r>
        <w:rPr>
          <w:rFonts w:hint="eastAsia"/>
        </w:rPr>
        <w:t>平台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以实现企业上市培育相关</w:t>
      </w:r>
      <w:r>
        <w:rPr>
          <w:rFonts w:hint="eastAsia"/>
          <w:lang w:val="en-US" w:eastAsia="zh-CN"/>
        </w:rPr>
        <w:t>政务</w:t>
      </w:r>
      <w:r>
        <w:rPr>
          <w:rFonts w:hint="eastAsia"/>
        </w:rPr>
        <w:t>事务办理、数据管理、政策发布、沟通交流、知识共享的信息化应用。主要功能如下</w:t>
      </w:r>
      <w:r>
        <w:rPr>
          <w:rFonts w:hint="eastAsia"/>
          <w:lang w:eastAsia="zh-CN"/>
        </w:rPr>
        <w:t>：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一、政务服务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（一）</w:t>
      </w:r>
      <w:r>
        <w:rPr>
          <w:rFonts w:hint="eastAsia"/>
          <w:lang w:val="en-US" w:eastAsia="zh-CN"/>
        </w:rPr>
        <w:t>上市挂牌后备企业管理</w:t>
      </w:r>
      <w:r>
        <w:rPr>
          <w:rFonts w:hint="eastAsia"/>
        </w:rPr>
        <w:t>。企业填报主体信息备案登记，经审核后进入</w:t>
      </w:r>
      <w:r>
        <w:rPr>
          <w:rFonts w:hint="eastAsia"/>
          <w:lang w:val="en-US" w:eastAsia="zh-CN"/>
        </w:rPr>
        <w:t>上市挂牌后备</w:t>
      </w:r>
      <w:r>
        <w:rPr>
          <w:rFonts w:hint="eastAsia"/>
        </w:rPr>
        <w:t>企业库，地方主管部门实时掌握辖区企业状态，</w:t>
      </w:r>
      <w:r>
        <w:rPr>
          <w:rFonts w:hint="eastAsia"/>
          <w:lang w:val="en-US" w:eastAsia="zh-CN"/>
        </w:rPr>
        <w:t>开展精准</w:t>
      </w:r>
      <w:r>
        <w:rPr>
          <w:rFonts w:hint="eastAsia"/>
        </w:rPr>
        <w:t>服务。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（二）政策发布。为优质创新企业提供奖励政策</w:t>
      </w:r>
      <w:r>
        <w:rPr>
          <w:rFonts w:hint="eastAsia"/>
          <w:lang w:eastAsia="zh-CN"/>
        </w:rPr>
        <w:t>及申报路径说明</w:t>
      </w:r>
      <w:r>
        <w:rPr>
          <w:rFonts w:hint="eastAsia"/>
        </w:rPr>
        <w:t>，在线申请，一键</w:t>
      </w:r>
      <w:r>
        <w:rPr>
          <w:rFonts w:hint="eastAsia"/>
          <w:lang w:eastAsia="zh-CN"/>
        </w:rPr>
        <w:t>审核</w:t>
      </w:r>
      <w:r>
        <w:rPr>
          <w:rFonts w:hint="eastAsia"/>
        </w:rPr>
        <w:t>，便捷高效。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/>
        </w:rPr>
        <w:t>（三）协调函管理。企业在线申请</w:t>
      </w:r>
      <w:r>
        <w:rPr>
          <w:rFonts w:hint="eastAsia"/>
          <w:lang w:eastAsia="zh-CN"/>
        </w:rPr>
        <w:t>合规证明协调函件</w:t>
      </w:r>
      <w:r>
        <w:rPr>
          <w:rFonts w:hint="eastAsia"/>
        </w:rPr>
        <w:t>，地方主管部门解决企业经营中的问题与障碍，</w:t>
      </w:r>
      <w:r>
        <w:rPr>
          <w:rFonts w:hint="eastAsia"/>
          <w:lang w:val="en-US" w:eastAsia="zh-CN"/>
        </w:rPr>
        <w:t>使</w:t>
      </w:r>
      <w:r>
        <w:rPr>
          <w:rFonts w:hint="eastAsia"/>
        </w:rPr>
        <w:t>证明函件电子化，协调工作流程化。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四</w:t>
      </w:r>
      <w:r>
        <w:rPr>
          <w:rFonts w:hint="eastAsia"/>
        </w:rPr>
        <w:t>）公告通知</w:t>
      </w:r>
      <w:r>
        <w:rPr>
          <w:rFonts w:hint="eastAsia"/>
          <w:lang w:eastAsia="zh-CN"/>
        </w:rPr>
        <w:t>。地方主管部门可发布各种政策与公告通知，快速传达、</w:t>
      </w:r>
      <w:r>
        <w:rPr>
          <w:rFonts w:hint="eastAsia"/>
          <w:lang w:val="en-US" w:eastAsia="zh-CN"/>
        </w:rPr>
        <w:t>在线</w:t>
      </w:r>
      <w:r>
        <w:rPr>
          <w:rFonts w:hint="eastAsia"/>
          <w:lang w:eastAsia="zh-CN"/>
        </w:rPr>
        <w:t>沟通。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eastAsia="zh-CN"/>
        </w:rPr>
        <w:t>数据服务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（一）资本市场数据全貌</w:t>
      </w:r>
      <w:r>
        <w:rPr>
          <w:rFonts w:hint="eastAsia"/>
          <w:lang w:eastAsia="zh-CN"/>
        </w:rPr>
        <w:t>。可查询各省、市、区上市公司、在审情况、在辅导进展及挂牌（新三板）企业数据。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（二）法律法规库。200多个专业层级分解，12万+条法规条文、上市公司法规全覆盖，最新法规实时更新。</w:t>
      </w:r>
    </w:p>
    <w:p>
      <w:pPr>
        <w:pStyle w:val="2"/>
        <w:ind w:left="0" w:leftChars="0" w:firstLine="640" w:firstLineChars="20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（三）IPO模块</w:t>
      </w:r>
      <w:r>
        <w:rPr>
          <w:rFonts w:hint="eastAsia"/>
          <w:szCs w:val="22"/>
          <w:lang w:val="en-US" w:eastAsia="zh-CN"/>
        </w:rPr>
        <w:t>。提供多维度数据展示及查询服务，包括IPO知识图谱、IPO案例解析等。</w:t>
      </w:r>
    </w:p>
    <w:p>
      <w:pPr>
        <w:pStyle w:val="2"/>
        <w:ind w:left="0" w:leftChars="0" w:firstLine="640" w:firstLineChars="2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（四）</w:t>
      </w:r>
      <w:r>
        <w:rPr>
          <w:rFonts w:hint="default"/>
          <w:szCs w:val="22"/>
          <w:lang w:val="en-US" w:eastAsia="zh-CN"/>
        </w:rPr>
        <w:t>债券统计</w:t>
      </w:r>
      <w:r>
        <w:rPr>
          <w:rFonts w:hint="eastAsia"/>
          <w:szCs w:val="22"/>
          <w:lang w:val="en-US" w:eastAsia="zh-CN"/>
        </w:rPr>
        <w:t>。从时间、行业、地区等维度统计债券募集资金、发行家数情况。</w:t>
      </w:r>
    </w:p>
    <w:p>
      <w:pPr>
        <w:pStyle w:val="2"/>
        <w:ind w:left="0" w:leftChars="0" w:firstLine="640" w:firstLineChars="20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（五）并购重组和再融资统计。可查询并购重组案例、重组标的等，并提供案例解析。再融资统计模块囊括17000+再融资函件问答数量，200+问题分类标签。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szCs w:val="22"/>
          <w:lang w:val="en-US" w:eastAsia="zh-CN"/>
        </w:rPr>
        <w:t>（六）</w:t>
      </w:r>
      <w:r>
        <w:rPr>
          <w:rFonts w:hint="default"/>
          <w:szCs w:val="22"/>
          <w:lang w:val="en-US" w:eastAsia="zh-CN"/>
        </w:rPr>
        <w:t>企业、专利、行业检索</w:t>
      </w:r>
      <w:r>
        <w:rPr>
          <w:rFonts w:hint="eastAsia"/>
          <w:lang w:val="en-US" w:eastAsia="zh-CN"/>
        </w:rPr>
        <w:t>。企业工商信息、知识产权、行业产业链数据。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eastAsia="zh-CN"/>
        </w:rPr>
        <w:t>培训服务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（一）活动与报名</w:t>
      </w:r>
      <w:r>
        <w:rPr>
          <w:rFonts w:hint="eastAsia"/>
          <w:lang w:eastAsia="zh-CN"/>
        </w:rPr>
        <w:t>。地方主管部门发布培训与活动通知，</w:t>
      </w:r>
      <w:r>
        <w:rPr>
          <w:rFonts w:hint="eastAsia"/>
          <w:lang w:val="en-US" w:eastAsia="zh-CN"/>
        </w:rPr>
        <w:t>企业线上报名、签到与学习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（二）在线课程。联合资本市场学院、</w:t>
      </w:r>
      <w:r>
        <w:rPr>
          <w:rFonts w:hint="eastAsia"/>
          <w:lang w:val="en-US" w:eastAsia="zh-CN"/>
        </w:rPr>
        <w:t>创新</w:t>
      </w:r>
      <w:r>
        <w:rPr>
          <w:rFonts w:hint="eastAsia"/>
          <w:lang w:eastAsia="zh-CN"/>
        </w:rPr>
        <w:t>成长学院、</w:t>
      </w:r>
      <w:r>
        <w:rPr>
          <w:rFonts w:hint="eastAsia"/>
          <w:lang w:val="en-US" w:eastAsia="zh-CN"/>
        </w:rPr>
        <w:t>新财富学院</w:t>
      </w:r>
      <w:r>
        <w:rPr>
          <w:rFonts w:hint="eastAsia"/>
          <w:lang w:eastAsia="zh-CN"/>
        </w:rPr>
        <w:t>等各类资源，为企业免费提供风险管理与内控、税务规划及管理、并购重组、估值建模、财报分析等课程。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四</w:t>
      </w:r>
      <w:r>
        <w:rPr>
          <w:rFonts w:hint="eastAsia" w:ascii="黑体" w:hAnsi="黑体" w:eastAsia="黑体" w:cs="黑体"/>
        </w:rPr>
        <w:t>、</w:t>
      </w:r>
      <w:r>
        <w:rPr>
          <w:rFonts w:hint="eastAsia" w:ascii="黑体" w:hAnsi="黑体" w:eastAsia="黑体" w:cs="黑体"/>
          <w:lang w:eastAsia="zh-CN"/>
        </w:rPr>
        <w:t>专业服务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（一）舆情监控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由</w:t>
      </w:r>
      <w:r>
        <w:rPr>
          <w:rFonts w:hint="eastAsia"/>
          <w:lang w:eastAsia="zh-CN"/>
        </w:rPr>
        <w:t>公众号、微博、贴吧、主流媒体资讯等</w:t>
      </w:r>
      <w:r>
        <w:rPr>
          <w:rFonts w:hint="eastAsia"/>
          <w:lang w:val="en-US" w:eastAsia="zh-CN"/>
        </w:rPr>
        <w:t>提供</w:t>
      </w:r>
      <w:r>
        <w:rPr>
          <w:rFonts w:hint="eastAsia"/>
          <w:lang w:eastAsia="zh-CN"/>
        </w:rPr>
        <w:t>数据来源，</w:t>
      </w:r>
      <w:r>
        <w:rPr>
          <w:rFonts w:hint="eastAsia"/>
          <w:lang w:val="en-US" w:eastAsia="zh-CN"/>
        </w:rPr>
        <w:t>了解上市和后备企业最新舆情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（二）产业链图谱。可根据产业链上下游关系，了解企业及未来产业发展。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（三）</w:t>
      </w:r>
      <w:r>
        <w:rPr>
          <w:rFonts w:hint="eastAsia"/>
          <w:szCs w:val="22"/>
          <w:lang w:eastAsia="zh-CN"/>
        </w:rPr>
        <w:t>投融资路演。系统内企业可线上发布融资需求，</w:t>
      </w:r>
      <w:r>
        <w:rPr>
          <w:rFonts w:hint="eastAsia"/>
          <w:szCs w:val="22"/>
          <w:lang w:val="en-US" w:eastAsia="zh-CN"/>
        </w:rPr>
        <w:t>并由</w:t>
      </w:r>
      <w:r>
        <w:rPr>
          <w:rFonts w:hint="eastAsia"/>
          <w:szCs w:val="22"/>
          <w:lang w:eastAsia="zh-CN"/>
        </w:rPr>
        <w:t>高新区科技金融信息服务平台为企业免费提供路演服务。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（四）信息动态。专题发布相关发审动态、研究报告、地方政策动态等信息，为地方快速传达最新监管政策等信息。</w:t>
      </w:r>
    </w:p>
    <w:p>
      <w:r>
        <w:rPr>
          <w:rFonts w:hint="eastAsia"/>
          <w:lang w:eastAsia="zh-CN"/>
        </w:rPr>
        <w:t>（五）上市</w:t>
      </w:r>
      <w:r>
        <w:rPr>
          <w:rFonts w:hint="eastAsia"/>
          <w:lang w:val="en-US" w:eastAsia="zh-CN"/>
        </w:rPr>
        <w:t>自评</w:t>
      </w:r>
      <w:r>
        <w:rPr>
          <w:rFonts w:hint="eastAsia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"/>
        </w:rPr>
        <w:t>提供方向、距离、规范等多维度上市评测结果以及全市场多板块上市对标分析</w:t>
      </w:r>
      <w:r>
        <w:rPr>
          <w:rFonts w:hint="eastAsia" w:cs="仿宋_GB2312"/>
          <w:kern w:val="2"/>
          <w:sz w:val="32"/>
          <w:szCs w:val="20"/>
          <w:lang w:val="en-US" w:eastAsia="zh-CN" w:bidi="ar"/>
        </w:rPr>
        <w:t>。</w:t>
      </w:r>
    </w:p>
    <w:p>
      <w:pPr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Cs w:val="2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Cs w:val="2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Cs w:val="22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Cs w:val="2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Cs w:val="2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  <w:r>
        <w:rPr>
          <w:rFonts w:hint="eastAsia" w:ascii="黑体" w:hAnsi="黑体" w:eastAsia="黑体" w:cs="黑体"/>
          <w:szCs w:val="22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广东省资本市场培育信息系统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企业注册申报流程</w:t>
      </w:r>
    </w:p>
    <w:p>
      <w:pPr>
        <w:rPr>
          <w:rFonts w:hint="eastAsia"/>
          <w:lang w:eastAsia="zh-CN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一、注册企业</w:t>
      </w:r>
      <w:r>
        <w:rPr>
          <w:rFonts w:hint="eastAsia" w:ascii="黑体" w:hAnsi="黑体" w:eastAsia="黑体" w:cs="黑体"/>
          <w:lang w:val="en-US" w:eastAsia="zh-CN"/>
        </w:rPr>
        <w:t>用户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企业管理员负责本企业信息管理、重要通知接收、活动报名、奖补政策申请等工作，建议由企业</w:t>
      </w:r>
      <w:r>
        <w:rPr>
          <w:rFonts w:hint="eastAsia"/>
        </w:rPr>
        <w:t>证券事务负责人</w:t>
      </w:r>
      <w:r>
        <w:rPr>
          <w:rFonts w:hint="eastAsia"/>
          <w:lang w:eastAsia="zh-CN"/>
        </w:rPr>
        <w:t>担任。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第一步：登</w:t>
      </w:r>
      <w:r>
        <w:rPr>
          <w:rFonts w:hint="eastAsia"/>
          <w:lang w:val="en-US" w:eastAsia="zh-CN"/>
        </w:rPr>
        <w:t>录</w:t>
      </w:r>
      <w:r>
        <w:rPr>
          <w:rFonts w:hint="eastAsia"/>
          <w:lang w:eastAsia="zh-CN"/>
        </w:rPr>
        <w:t>广东省资本市场培育信息系统网站（入口：</w:t>
      </w:r>
      <w:r>
        <w:rPr>
          <w:rFonts w:hint="eastAsia"/>
          <w:color w:val="auto"/>
          <w:u w:val="none"/>
        </w:rPr>
        <w:t>https://guangdong.preipo.org.cn</w:t>
      </w:r>
      <w:r>
        <w:rPr>
          <w:rFonts w:hint="eastAsia"/>
          <w:color w:val="auto"/>
          <w:u w:val="none"/>
          <w:lang w:eastAsia="zh-CN"/>
        </w:rPr>
        <w:t>），点击页面右上角中【注册】按钮，进入注册页面。根据页面中的提示，填写有关信息，点击【注册】按钮。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第二步：注册成功后，进入到登录页面，根据页面中的提示，填写手机号码，通过手机验证码登录，进入到首页。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二、填报企业信息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企业登录后，按照提示弹窗，点击【填报】，进入企业信息页面，填写数据来源及公开模式、上市进展、企业信息、股权结构及企业经营情况、上市筹备情况、金融支持情况六大模块信息，并按照提示上传注册人身份证正反面、公司营业执照副本复印件、公司承诺书等附件，点击【提交】，交由注册地所在</w:t>
      </w:r>
      <w:r>
        <w:rPr>
          <w:rFonts w:hint="eastAsia"/>
        </w:rPr>
        <w:t>市、县（区）</w:t>
      </w:r>
      <w:r>
        <w:rPr>
          <w:rFonts w:hint="eastAsia"/>
          <w:lang w:eastAsia="zh-CN"/>
        </w:rPr>
        <w:t>金融工作部门</w:t>
      </w:r>
      <w:bookmarkStart w:id="0" w:name="_GoBack"/>
      <w:bookmarkEnd w:id="0"/>
      <w:r>
        <w:rPr>
          <w:rFonts w:hint="eastAsia"/>
          <w:lang w:eastAsia="zh-CN"/>
        </w:rPr>
        <w:t>进行审核。</w:t>
      </w:r>
    </w:p>
    <w:p>
      <w:pPr>
        <w:pStyle w:val="2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企业应依法、真实、准确填报企业信息，对填报信息的真实性、合法性负责。企业信息填报不实或不完整的，不予享受相关上市培育政策服务，视情调出全省上市后备企业名单，从培育系统中删除。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企业提交信息后，需等待</w:t>
      </w:r>
      <w:r>
        <w:rPr>
          <w:rFonts w:hint="eastAsia"/>
        </w:rPr>
        <w:t>市、县（区）</w:t>
      </w:r>
      <w:r>
        <w:rPr>
          <w:rFonts w:hint="eastAsia"/>
          <w:lang w:val="en-US" w:eastAsia="zh-CN"/>
        </w:rPr>
        <w:t>金融工作部门进行审核。企业信息详情页面上方展示审核状态信息提示：未受理、受理、审核通过或驳回。驳回后企业可以对企业信息进行修改后再次提交，重新发起企业信息更新申请流程，再次进入审核。企业信息审核结果将通过短信的方式通知到企业用户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政府用户信息模板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填报单位（盖章）:</w:t>
      </w:r>
    </w:p>
    <w:tbl>
      <w:tblPr>
        <w:tblStyle w:val="7"/>
        <w:tblW w:w="10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600"/>
        <w:gridCol w:w="2100"/>
        <w:gridCol w:w="812"/>
        <w:gridCol w:w="1463"/>
        <w:gridCol w:w="1543"/>
        <w:gridCol w:w="977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姓名</w:t>
            </w:r>
          </w:p>
        </w:tc>
        <w:tc>
          <w:tcPr>
            <w:tcW w:w="16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电话</w:t>
            </w:r>
          </w:p>
        </w:tc>
        <w:tc>
          <w:tcPr>
            <w:tcW w:w="210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email</w:t>
            </w:r>
          </w:p>
        </w:tc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职务</w:t>
            </w:r>
          </w:p>
        </w:tc>
        <w:tc>
          <w:tcPr>
            <w:tcW w:w="146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组织类型</w:t>
            </w:r>
          </w:p>
        </w:tc>
        <w:tc>
          <w:tcPr>
            <w:tcW w:w="15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组织全称</w:t>
            </w:r>
          </w:p>
        </w:tc>
        <w:tc>
          <w:tcPr>
            <w:tcW w:w="97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处室</w:t>
            </w: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/科室</w:t>
            </w:r>
          </w:p>
        </w:tc>
        <w:tc>
          <w:tcPr>
            <w:tcW w:w="10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eastAsia="zh-CN"/>
              </w:rPr>
              <w:t>是否为管理员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张三</w:t>
            </w:r>
          </w:p>
        </w:tc>
        <w:tc>
          <w:tcPr>
            <w:tcW w:w="1600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18000000000</w:t>
            </w:r>
          </w:p>
        </w:tc>
        <w:tc>
          <w:tcPr>
            <w:tcW w:w="2100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29304002@qq.com</w:t>
            </w:r>
          </w:p>
        </w:tc>
        <w:tc>
          <w:tcPr>
            <w:tcW w:w="812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干部</w:t>
            </w:r>
          </w:p>
        </w:tc>
        <w:tc>
          <w:tcPr>
            <w:tcW w:w="1463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政府金融办</w:t>
            </w:r>
          </w:p>
        </w:tc>
        <w:tc>
          <w:tcPr>
            <w:tcW w:w="1543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16"/>
                <w:shd w:val="clear" w:fill="auto"/>
                <w:lang w:val="en-US" w:eastAsia="zh-CN"/>
              </w:rPr>
              <w:t>XX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16"/>
                <w:shd w:val="clear" w:fill="auto"/>
              </w:rPr>
              <w:t>地方金融监督管理局</w:t>
            </w:r>
          </w:p>
        </w:tc>
        <w:tc>
          <w:tcPr>
            <w:tcW w:w="977" w:type="dxa"/>
          </w:tcPr>
          <w:p>
            <w:pPr>
              <w:ind w:firstLine="0" w:firstLineChars="0"/>
              <w:jc w:val="center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资本市场处</w:t>
            </w:r>
          </w:p>
        </w:tc>
        <w:tc>
          <w:tcPr>
            <w:tcW w:w="1068" w:type="dxa"/>
          </w:tcPr>
          <w:p>
            <w:pPr>
              <w:ind w:firstLine="240" w:firstLineChars="100"/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812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46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543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977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  <w:tc>
          <w:tcPr>
            <w:tcW w:w="1068" w:type="dxa"/>
          </w:tcPr>
          <w:p>
            <w:pPr>
              <w:rPr>
                <w:rFonts w:hint="eastAsia"/>
                <w:sz w:val="24"/>
                <w:szCs w:val="16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ind w:left="0" w:leftChars="0" w:firstLine="0" w:firstLineChars="0"/>
        <w:rPr>
          <w:rFonts w:hint="default"/>
          <w:color w:val="auto"/>
          <w:sz w:val="24"/>
          <w:szCs w:val="16"/>
          <w:lang w:val="en-US" w:eastAsia="zh-CN"/>
        </w:rPr>
      </w:pPr>
      <w:r>
        <w:rPr>
          <w:rFonts w:hint="eastAsia"/>
          <w:color w:val="auto"/>
          <w:sz w:val="24"/>
          <w:szCs w:val="16"/>
          <w:lang w:val="en-US" w:eastAsia="zh-CN"/>
        </w:rPr>
        <w:t>注：为便于管理，建议每个地市只设立1-2名管理员。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企业信息审核流程规则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填报单位（盖章）: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4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企业信息审核流程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</w:t>
            </w:r>
          </w:p>
        </w:tc>
        <w:tc>
          <w:tcPr>
            <w:tcW w:w="4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XX市</w:t>
            </w:r>
          </w:p>
        </w:tc>
        <w:tc>
          <w:tcPr>
            <w:tcW w:w="4621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先区后市逐级审核/市级审核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vertAlign w:val="baseline"/>
          <w:lang w:val="en-US" w:eastAsia="zh-CN"/>
        </w:rPr>
        <w:t>企业信息审核流程包括两类，一类是先区后市逐级审核，另一类是直接由市级负责审核，各地市根据自身实际情况进行选择。</w:t>
      </w:r>
    </w:p>
    <w:p/>
    <w:sectPr>
      <w:footerReference r:id="rId3" w:type="default"/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3126"/>
    <w:rsid w:val="0B82078A"/>
    <w:rsid w:val="7BB631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2022-01-20T02:55:00Z</dcterms:created>
  <dc:creator>米思桥</dc:creator>
  <cp:lastModifiedBy>米思桥</cp:lastModifiedBy>
  <dcterms:modified xsi:type="dcterms:W3CDTF">2022-01-20T03:33:24Z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